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AE1" w:rsidRPr="00142AE1" w:rsidRDefault="00142AE1" w:rsidP="00142AE1">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142AE1">
        <w:rPr>
          <w:rFonts w:ascii="Times New Roman" w:eastAsia="Times New Roman" w:hAnsi="Times New Roman" w:cs="Times New Roman"/>
          <w:b/>
          <w:bCs/>
          <w:kern w:val="36"/>
          <w:sz w:val="48"/>
          <w:szCs w:val="48"/>
          <w:lang w:eastAsia="de-DE"/>
        </w:rPr>
        <w:t>Fit für die Betreuung Demenzkranker</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 xml:space="preserve">Ohne Orientierung, verunsichert, unverstanden: Für Angehörige und auch Praxisteams ist oft nur schwer vorstellbar, was ein Leben mit Demenz bedeutet. Der Kompaktkurs Demenz Partner vermittelt grundlegende Kenntnisse zum Krankheitsbild. Schon kleine Gesten können für Erkrankte hilfreich sein, sagt Dr. Katharina </w:t>
      </w:r>
      <w:proofErr w:type="spellStart"/>
      <w:r w:rsidRPr="00142AE1">
        <w:rPr>
          <w:rFonts w:ascii="Times New Roman" w:eastAsia="Times New Roman" w:hAnsi="Times New Roman" w:cs="Times New Roman"/>
          <w:sz w:val="24"/>
          <w:szCs w:val="24"/>
          <w:lang w:eastAsia="de-DE"/>
        </w:rPr>
        <w:t>Graffmann-Weschke</w:t>
      </w:r>
      <w:proofErr w:type="spellEnd"/>
      <w:r w:rsidRPr="00142AE1">
        <w:rPr>
          <w:rFonts w:ascii="Times New Roman" w:eastAsia="Times New Roman" w:hAnsi="Times New Roman" w:cs="Times New Roman"/>
          <w:sz w:val="24"/>
          <w:szCs w:val="24"/>
          <w:lang w:eastAsia="de-DE"/>
        </w:rPr>
        <w:t xml:space="preserve">. </w:t>
      </w:r>
    </w:p>
    <w:p w:rsidR="00142AE1" w:rsidRPr="00142AE1" w:rsidRDefault="00142AE1" w:rsidP="00142AE1">
      <w:pPr>
        <w:spacing w:after="0"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Von Taina Ebert-</w:t>
      </w:r>
      <w:proofErr w:type="spellStart"/>
      <w:r w:rsidRPr="00142AE1">
        <w:rPr>
          <w:rFonts w:ascii="Times New Roman" w:eastAsia="Times New Roman" w:hAnsi="Times New Roman" w:cs="Times New Roman"/>
          <w:sz w:val="24"/>
          <w:szCs w:val="24"/>
          <w:lang w:eastAsia="de-DE"/>
        </w:rPr>
        <w:t>Rall</w:t>
      </w:r>
      <w:proofErr w:type="spellEnd"/>
      <w:r w:rsidRPr="00142AE1">
        <w:rPr>
          <w:rFonts w:ascii="Times New Roman" w:eastAsia="Times New Roman" w:hAnsi="Times New Roman" w:cs="Times New Roman"/>
          <w:sz w:val="24"/>
          <w:szCs w:val="24"/>
          <w:lang w:eastAsia="de-DE"/>
        </w:rPr>
        <w:t xml:space="preserve"> Veröffentlicht: 23.01.2020, 13:45 Uhr </w:t>
      </w:r>
    </w:p>
    <w:p w:rsidR="00142AE1" w:rsidRPr="00142AE1" w:rsidRDefault="00142AE1" w:rsidP="00142AE1">
      <w:pPr>
        <w:spacing w:after="0"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noProof/>
          <w:sz w:val="24"/>
          <w:szCs w:val="24"/>
          <w:lang w:eastAsia="de-DE"/>
        </w:rPr>
        <w:drawing>
          <wp:inline distT="0" distB="0" distL="0" distR="0" wp14:anchorId="5864C8EA" wp14:editId="55EF6727">
            <wp:extent cx="5905500" cy="2819400"/>
            <wp:effectExtent l="0" t="0" r="0" b="0"/>
            <wp:docPr id="3" name="Bild 3" descr="Fit für die Betreuung Demenzkran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t für die Betreuung Demenzkrank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0" cy="2819400"/>
                    </a:xfrm>
                    <a:prstGeom prst="rect">
                      <a:avLst/>
                    </a:prstGeom>
                    <a:noFill/>
                    <a:ln>
                      <a:noFill/>
                    </a:ln>
                  </pic:spPr>
                </pic:pic>
              </a:graphicData>
            </a:graphic>
          </wp:inline>
        </w:drawing>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 xml:space="preserve">Verhaltensweisen wie Misstrauen und Angst können Warnsignale für eine Demenz sein. Sie treten 30 bis 40 Monate vor den kognitiven Störungen auf. © Patrick </w:t>
      </w:r>
      <w:proofErr w:type="spellStart"/>
      <w:r w:rsidRPr="00142AE1">
        <w:rPr>
          <w:rFonts w:ascii="Times New Roman" w:eastAsia="Times New Roman" w:hAnsi="Times New Roman" w:cs="Times New Roman"/>
          <w:sz w:val="24"/>
          <w:szCs w:val="24"/>
          <w:lang w:eastAsia="de-DE"/>
        </w:rPr>
        <w:t>Pleul</w:t>
      </w:r>
      <w:proofErr w:type="spellEnd"/>
      <w:r w:rsidRPr="00142AE1">
        <w:rPr>
          <w:rFonts w:ascii="Times New Roman" w:eastAsia="Times New Roman" w:hAnsi="Times New Roman" w:cs="Times New Roman"/>
          <w:sz w:val="24"/>
          <w:szCs w:val="24"/>
          <w:lang w:eastAsia="de-DE"/>
        </w:rPr>
        <w:t xml:space="preserve"> / dpa</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Frau Dr. </w:t>
      </w:r>
      <w:proofErr w:type="spellStart"/>
      <w:r w:rsidRPr="00142AE1">
        <w:rPr>
          <w:rFonts w:ascii="Times New Roman" w:eastAsia="Times New Roman" w:hAnsi="Times New Roman" w:cs="Times New Roman"/>
          <w:b/>
          <w:bCs/>
          <w:sz w:val="24"/>
          <w:szCs w:val="24"/>
          <w:lang w:eastAsia="de-DE"/>
        </w:rPr>
        <w:t>Graffmann-Weschke</w:t>
      </w:r>
      <w:proofErr w:type="spellEnd"/>
      <w:r w:rsidRPr="00142AE1">
        <w:rPr>
          <w:rFonts w:ascii="Times New Roman" w:eastAsia="Times New Roman" w:hAnsi="Times New Roman" w:cs="Times New Roman"/>
          <w:b/>
          <w:bCs/>
          <w:sz w:val="24"/>
          <w:szCs w:val="24"/>
          <w:lang w:eastAsia="de-DE"/>
        </w:rPr>
        <w:t xml:space="preserve">, wie genau ist der Demenz-Partner-Kurs aufgebaut und was wird darin vermittelt?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b/>
          <w:bCs/>
          <w:sz w:val="24"/>
          <w:szCs w:val="24"/>
          <w:lang w:eastAsia="de-DE"/>
        </w:rPr>
        <w:t xml:space="preserve">Dr. Katharina </w:t>
      </w:r>
      <w:proofErr w:type="spellStart"/>
      <w:r w:rsidRPr="00142AE1">
        <w:rPr>
          <w:rFonts w:ascii="Times New Roman" w:eastAsia="Times New Roman" w:hAnsi="Times New Roman" w:cs="Times New Roman"/>
          <w:b/>
          <w:bCs/>
          <w:sz w:val="24"/>
          <w:szCs w:val="24"/>
          <w:lang w:eastAsia="de-DE"/>
        </w:rPr>
        <w:t>Graffmann-Weschke</w:t>
      </w:r>
      <w:proofErr w:type="spellEnd"/>
      <w:r w:rsidRPr="00142AE1">
        <w:rPr>
          <w:rFonts w:ascii="Times New Roman" w:eastAsia="Times New Roman" w:hAnsi="Times New Roman" w:cs="Times New Roman"/>
          <w:b/>
          <w:bCs/>
          <w:sz w:val="24"/>
          <w:szCs w:val="24"/>
          <w:lang w:eastAsia="de-DE"/>
        </w:rPr>
        <w:t>:</w:t>
      </w:r>
      <w:r w:rsidRPr="00142AE1">
        <w:rPr>
          <w:rFonts w:ascii="Times New Roman" w:eastAsia="Times New Roman" w:hAnsi="Times New Roman" w:cs="Times New Roman"/>
          <w:sz w:val="24"/>
          <w:szCs w:val="24"/>
          <w:lang w:eastAsia="de-DE"/>
        </w:rPr>
        <w:t xml:space="preserve"> Der Kurs führt in etwa 90 Minuten über verschiedene Stufen zu einem besseren Verständnis für Menschen, die sich für Gesunde auf den ersten Blick ungewöhnlich verhalten. Zunächst einmal wird die Erkrankung definiert. Es wird erläutert, was bei der Entstehung einer Demenz im Gehirn passiert, an welchen Hauptmerkmalen beziehungsweise Symptomen man sich orientieren kann, wie lange diese Symptome anhalten müssen, um von einer Demenz zu sprechen. Es wird auch über die Risikofaktoren für eine Demenz informiert und über die Diagnose sowie über Behandlungsmöglichkeiten. Und schließlich darüber, wie wir Menschen mit Demenz am besten begegnen.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Wie sieht das im Detail aus?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 xml:space="preserve">Ich nutze bei der Schulung zum „Demenz Partner“ Folien, die die Deutsche Alzheimer Gesellschaft e.V. für die Initiative Demenz Partner zur Verfügung stellt und die ich um eigene Anmerkungen und persönliche Erfahrungen ergänzt habe. Dabei erläutere ich beispielsweise, was wir unter dem Demenz-Hauptmerkmal „eingeschränkte Alltagsfähigkeit“ verstehen, dass also schon allein ein Arztbesuch oder der tägliche Einkauf für Menschen mit Demenz plötzlich ein kaum </w:t>
      </w:r>
      <w:proofErr w:type="gramStart"/>
      <w:r w:rsidRPr="00142AE1">
        <w:rPr>
          <w:rFonts w:ascii="Times New Roman" w:eastAsia="Times New Roman" w:hAnsi="Times New Roman" w:cs="Times New Roman"/>
          <w:sz w:val="24"/>
          <w:szCs w:val="24"/>
          <w:lang w:eastAsia="de-DE"/>
        </w:rPr>
        <w:t>zu bewältigendes Projekt</w:t>
      </w:r>
      <w:proofErr w:type="gramEnd"/>
      <w:r w:rsidRPr="00142AE1">
        <w:rPr>
          <w:rFonts w:ascii="Times New Roman" w:eastAsia="Times New Roman" w:hAnsi="Times New Roman" w:cs="Times New Roman"/>
          <w:sz w:val="24"/>
          <w:szCs w:val="24"/>
          <w:lang w:eastAsia="de-DE"/>
        </w:rPr>
        <w:t xml:space="preserve"> werden kann.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Auch für die weiteren Hauptmerkmale der Erkrankung, also für Gedächtnisstörungen, für Orientierungsstörungen und für Konzentrationsstörungen sowie für Veränderungen im Verhalten und in der Persönlichkeit finde ich Beispiele, anhand derer sich Menschen, die sich schulen lassen, leicht orientieren können. Es geht einfach darum, konkrete Situationen zu benennen, um die Aufmerksamkeit für Menschen mit Demenz zu schärfen. Der Nachbar hat Schwierigkeiten, beim Einkauf sein Geld abzuzählen? Körperpflege oder Zähne putzen wird zum Problem? Die betagte Mutter verlegt Schlüssel oder vergisst Benimmregeln? Es könnte an der Erkrankung liegen.</w:t>
      </w:r>
      <w:bookmarkStart w:id="0" w:name="_GoBack"/>
      <w:bookmarkEnd w:id="0"/>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lastRenderedPageBreak/>
        <w:t xml:space="preserve">Aber die Symptome kommen ja nicht aus dem Nichts ...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Genau deshalb ist es wichtig, dass nicht nur Ärztinnen und Ärzte, sondern möglichst viele Menschen informiert sind und erste Anzeichen als solche erkennen. Denn „Verhaltensstörungen“ wie Reizbarkeit oder Aggressivität, Misstrauen oder Angst treten bereits 30 bis 40 Monate vor den kognitiven Störungen auf. Ein Familienmitglied, ein Betreuer oder Freund der betroffenen Person könnte dann versuchen, eine Differenzialdiagnose durch einen Facharzt anzuregen. Leidet der Betroffene an Parkinson, an einer Depression oder an Entzündungen? Hier könnten sich erste Hinweise zeigen.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Ich benenne in den Schulungen, die ich gebe, auch Risikofaktoren wie Alter, Schädelhirnverletzungen und andere und verweise auf vorbeugende Maßnahmen. Ich erkläre, wie wichtig die korrekte Medikamenteneinnahme bei Bluthochdruck ist oder die Behandlung von Depressionen. Aber auch auf eigentlich ganz normale Verhaltensweisen mache ich aufmerksam, bringe gesunde Ernährung und Bewegung in Erinnerung oder die große Bedeutung sozialer Kontakte. Dann schildere ich in der Regel noch den Verlauf einer Demenz am Beispiel der Alzheimer-Krankheit – von der Diagnose über Behandlungsmöglichkeiten bis hin zu den Wünschen und Bedürfnissen der Erkrankten.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Wie beschreiben Sie die Bedürfnisse und wie können diese möglichst erfüllt werden?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Ich gehe davon aus, dass alle Menschen sozial eingebunden sein möchten, sie möchten nützlich und hilfreich sein und sich sicher fühlen. Sie möchten in ihrer vertrauten Umgebung sein und möglichst selbstbestimmt leben. Wenn wir uns vergegenwärtigen, dass Menschen mit Demenz sich ihr Wohlbefinden nicht mehr selbst herstellen können, ergeben sich manche Antworten quasi von selbst. Andere muss man erst lernen und einüben. Wir unterstützen sie dabei, sich gut aufgehoben zu fühlen. Das funktioniert, indem wir nicht auf ihre Defizite hinweisen, sondern stattdessen ihre Bedürfnisse ernst nehmen, sie respektvoll behandeln und Ruhe und Sicherheit vermitteln.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Im Gespräch mit Menschen mit Demenz ist es besonders wichtig, Blickkontakt aufzunehmen, aufmerksam zuzuhören, geduldig auf Antworten zu warten, Ja-Nein-Fragen zu nutzen und selbst in einfachen und kurzen Sätzen zu sprechen. Und mit Charme erreichen wir auch bei diesen Menschen viel mehr als mit Rechthaben.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Bietet der Kurs auch Tipps für schwierige Situationen?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Auch hier arbeiten wir viel mit Beispielen. Wenn etwa ein Mensch mit Demenz stark verängstigt ist oder plötzlich aggressiv wird, nutzt es wenig, auf Tatsachen hinzuweisen. Viel besser ist es, zu klären, ob es einen erkennbaren Grund für das Verhalten gibt. Auf jeden Fall sollte das jeweilige Thema aufgenommen und nach einer Lösung gesucht werden. Es hilft dann einfach nicht, zu argumentieren. Wir können auch eine Unterbrechung der Situation herbeiführen oder – falls mehrere Personen anwesend sind – den Gesprächspartner wechseln. Das ist anstrengend, man kann auch mal wütend werden, dann ist es notfalls auch mal gut bei einem Konflikt, natürlich nur mit kurzer Ansage, kurz den Raum zu verlassen und nach wenigen Minuten wieder zurückzukehren. Dann kann die Situation schon deutlich entspannter sein. Die Herausforderungen des Alltags sind so vielfältig und unvorhersehbar, dass es sehr hilft, sich mit ebenso Betroffenen regelmäßig auszutauschen. Und das ermöglichen Selbsthilfegruppen.</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b/>
          <w:bCs/>
          <w:sz w:val="24"/>
          <w:szCs w:val="24"/>
          <w:lang w:eastAsia="de-DE"/>
        </w:rPr>
      </w:pPr>
      <w:r w:rsidRPr="00142AE1">
        <w:rPr>
          <w:rFonts w:ascii="Times New Roman" w:eastAsia="Times New Roman" w:hAnsi="Times New Roman" w:cs="Times New Roman"/>
          <w:b/>
          <w:bCs/>
          <w:sz w:val="24"/>
          <w:szCs w:val="24"/>
          <w:lang w:eastAsia="de-DE"/>
        </w:rPr>
        <w:t xml:space="preserve">Was sagen Sie pflegenden Angehörigen? </w:t>
      </w:r>
    </w:p>
    <w:p w:rsidR="00142AE1" w:rsidRPr="00142AE1" w:rsidRDefault="00142AE1" w:rsidP="00142AE1">
      <w:pPr>
        <w:spacing w:before="100" w:beforeAutospacing="1" w:after="100" w:afterAutospacing="1" w:line="240" w:lineRule="auto"/>
        <w:rPr>
          <w:rFonts w:ascii="Times New Roman" w:eastAsia="Times New Roman" w:hAnsi="Times New Roman" w:cs="Times New Roman"/>
          <w:sz w:val="24"/>
          <w:szCs w:val="24"/>
          <w:lang w:eastAsia="de-DE"/>
        </w:rPr>
      </w:pPr>
      <w:r w:rsidRPr="00142AE1">
        <w:rPr>
          <w:rFonts w:ascii="Times New Roman" w:eastAsia="Times New Roman" w:hAnsi="Times New Roman" w:cs="Times New Roman"/>
          <w:sz w:val="24"/>
          <w:szCs w:val="24"/>
          <w:lang w:eastAsia="de-DE"/>
        </w:rPr>
        <w:t>Die Angehörigen, ob Verwandte, Freunde oder Nachbarn sind in der Regel die wichtigsten Bezugspersonen und damit entsprechend stark belastet. Bei ganz praktischen Problemen wie Schlucken als medizinisches Problem, gibt es inzwischen Pflegekurse. Dort erfahren Angehörige zum Beispiel, dass sie statt Wasser Zähflüssiges anbieten können, also Smoothies oder Suppen, um Medikamentengaben zu erleichtern. In der AOK Pflege Akademie bieten wir im Rahmen unseres Programms „Pflege in Familien fördern-</w:t>
      </w:r>
      <w:proofErr w:type="spellStart"/>
      <w:r w:rsidRPr="00142AE1">
        <w:rPr>
          <w:rFonts w:ascii="Times New Roman" w:eastAsia="Times New Roman" w:hAnsi="Times New Roman" w:cs="Times New Roman"/>
          <w:sz w:val="24"/>
          <w:szCs w:val="24"/>
          <w:lang w:eastAsia="de-DE"/>
        </w:rPr>
        <w:t>PfiFf</w:t>
      </w:r>
      <w:proofErr w:type="spellEnd"/>
      <w:r w:rsidRPr="00142AE1">
        <w:rPr>
          <w:rFonts w:ascii="Times New Roman" w:eastAsia="Times New Roman" w:hAnsi="Times New Roman" w:cs="Times New Roman"/>
          <w:sz w:val="24"/>
          <w:szCs w:val="24"/>
          <w:lang w:eastAsia="de-DE"/>
        </w:rPr>
        <w:t>“ eine Reihe von Schulungen an, die sich zum an pflegende Angehörige richten. Zudem können sich Angehörige auch in einem Pflegestützpunkt beraten lassen und sich über mögliche Entlastung informieren.</w:t>
      </w:r>
    </w:p>
    <w:sectPr w:rsidR="00142AE1" w:rsidRPr="00142AE1" w:rsidSect="00142A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9413F"/>
    <w:multiLevelType w:val="multilevel"/>
    <w:tmpl w:val="88AA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96295D"/>
    <w:multiLevelType w:val="multilevel"/>
    <w:tmpl w:val="1ACA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3F7946"/>
    <w:multiLevelType w:val="multilevel"/>
    <w:tmpl w:val="92B6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697135"/>
    <w:multiLevelType w:val="multilevel"/>
    <w:tmpl w:val="8F32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AE1"/>
    <w:rsid w:val="00142A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9F5D"/>
  <w15:chartTrackingRefBased/>
  <w15:docId w15:val="{10B8A1F8-5379-4BAD-8707-0B91AA58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976860">
      <w:bodyDiv w:val="1"/>
      <w:marLeft w:val="0"/>
      <w:marRight w:val="0"/>
      <w:marTop w:val="0"/>
      <w:marBottom w:val="0"/>
      <w:divBdr>
        <w:top w:val="none" w:sz="0" w:space="0" w:color="auto"/>
        <w:left w:val="none" w:sz="0" w:space="0" w:color="auto"/>
        <w:bottom w:val="none" w:sz="0" w:space="0" w:color="auto"/>
        <w:right w:val="none" w:sz="0" w:space="0" w:color="auto"/>
      </w:divBdr>
      <w:divsChild>
        <w:div w:id="384916393">
          <w:marLeft w:val="0"/>
          <w:marRight w:val="0"/>
          <w:marTop w:val="0"/>
          <w:marBottom w:val="0"/>
          <w:divBdr>
            <w:top w:val="none" w:sz="0" w:space="0" w:color="auto"/>
            <w:left w:val="none" w:sz="0" w:space="0" w:color="auto"/>
            <w:bottom w:val="none" w:sz="0" w:space="0" w:color="auto"/>
            <w:right w:val="none" w:sz="0" w:space="0" w:color="auto"/>
          </w:divBdr>
          <w:divsChild>
            <w:div w:id="791435451">
              <w:marLeft w:val="0"/>
              <w:marRight w:val="0"/>
              <w:marTop w:val="0"/>
              <w:marBottom w:val="0"/>
              <w:divBdr>
                <w:top w:val="none" w:sz="0" w:space="0" w:color="auto"/>
                <w:left w:val="none" w:sz="0" w:space="0" w:color="auto"/>
                <w:bottom w:val="none" w:sz="0" w:space="0" w:color="auto"/>
                <w:right w:val="none" w:sz="0" w:space="0" w:color="auto"/>
              </w:divBdr>
              <w:divsChild>
                <w:div w:id="1658460766">
                  <w:marLeft w:val="0"/>
                  <w:marRight w:val="0"/>
                  <w:marTop w:val="0"/>
                  <w:marBottom w:val="0"/>
                  <w:divBdr>
                    <w:top w:val="none" w:sz="0" w:space="0" w:color="auto"/>
                    <w:left w:val="none" w:sz="0" w:space="0" w:color="auto"/>
                    <w:bottom w:val="none" w:sz="0" w:space="0" w:color="auto"/>
                    <w:right w:val="none" w:sz="0" w:space="0" w:color="auto"/>
                  </w:divBdr>
                </w:div>
                <w:div w:id="33908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1104">
          <w:marLeft w:val="0"/>
          <w:marRight w:val="0"/>
          <w:marTop w:val="0"/>
          <w:marBottom w:val="0"/>
          <w:divBdr>
            <w:top w:val="none" w:sz="0" w:space="0" w:color="auto"/>
            <w:left w:val="none" w:sz="0" w:space="0" w:color="auto"/>
            <w:bottom w:val="none" w:sz="0" w:space="0" w:color="auto"/>
            <w:right w:val="none" w:sz="0" w:space="0" w:color="auto"/>
          </w:divBdr>
        </w:div>
        <w:div w:id="171722418">
          <w:marLeft w:val="0"/>
          <w:marRight w:val="0"/>
          <w:marTop w:val="0"/>
          <w:marBottom w:val="0"/>
          <w:divBdr>
            <w:top w:val="none" w:sz="0" w:space="0" w:color="auto"/>
            <w:left w:val="none" w:sz="0" w:space="0" w:color="auto"/>
            <w:bottom w:val="none" w:sz="0" w:space="0" w:color="auto"/>
            <w:right w:val="none" w:sz="0" w:space="0" w:color="auto"/>
          </w:divBdr>
          <w:divsChild>
            <w:div w:id="702824966">
              <w:marLeft w:val="0"/>
              <w:marRight w:val="0"/>
              <w:marTop w:val="0"/>
              <w:marBottom w:val="0"/>
              <w:divBdr>
                <w:top w:val="none" w:sz="0" w:space="0" w:color="auto"/>
                <w:left w:val="none" w:sz="0" w:space="0" w:color="auto"/>
                <w:bottom w:val="none" w:sz="0" w:space="0" w:color="auto"/>
                <w:right w:val="none" w:sz="0" w:space="0" w:color="auto"/>
              </w:divBdr>
              <w:divsChild>
                <w:div w:id="1267735460">
                  <w:marLeft w:val="0"/>
                  <w:marRight w:val="0"/>
                  <w:marTop w:val="0"/>
                  <w:marBottom w:val="0"/>
                  <w:divBdr>
                    <w:top w:val="none" w:sz="0" w:space="0" w:color="auto"/>
                    <w:left w:val="none" w:sz="0" w:space="0" w:color="auto"/>
                    <w:bottom w:val="none" w:sz="0" w:space="0" w:color="auto"/>
                    <w:right w:val="none" w:sz="0" w:space="0" w:color="auto"/>
                  </w:divBdr>
                  <w:divsChild>
                    <w:div w:id="1364087429">
                      <w:marLeft w:val="0"/>
                      <w:marRight w:val="0"/>
                      <w:marTop w:val="0"/>
                      <w:marBottom w:val="0"/>
                      <w:divBdr>
                        <w:top w:val="none" w:sz="0" w:space="0" w:color="auto"/>
                        <w:left w:val="none" w:sz="0" w:space="0" w:color="auto"/>
                        <w:bottom w:val="none" w:sz="0" w:space="0" w:color="auto"/>
                        <w:right w:val="none" w:sz="0" w:space="0" w:color="auto"/>
                      </w:divBdr>
                    </w:div>
                  </w:divsChild>
                </w:div>
                <w:div w:id="1587766584">
                  <w:marLeft w:val="0"/>
                  <w:marRight w:val="0"/>
                  <w:marTop w:val="0"/>
                  <w:marBottom w:val="0"/>
                  <w:divBdr>
                    <w:top w:val="none" w:sz="0" w:space="0" w:color="auto"/>
                    <w:left w:val="none" w:sz="0" w:space="0" w:color="auto"/>
                    <w:bottom w:val="none" w:sz="0" w:space="0" w:color="auto"/>
                    <w:right w:val="none" w:sz="0" w:space="0" w:color="auto"/>
                  </w:divBdr>
                </w:div>
              </w:divsChild>
            </w:div>
            <w:div w:id="1124930071">
              <w:marLeft w:val="0"/>
              <w:marRight w:val="0"/>
              <w:marTop w:val="0"/>
              <w:marBottom w:val="0"/>
              <w:divBdr>
                <w:top w:val="none" w:sz="0" w:space="0" w:color="auto"/>
                <w:left w:val="none" w:sz="0" w:space="0" w:color="auto"/>
                <w:bottom w:val="none" w:sz="0" w:space="0" w:color="auto"/>
                <w:right w:val="none" w:sz="0" w:space="0" w:color="auto"/>
              </w:divBdr>
              <w:divsChild>
                <w:div w:id="185723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5749</Characters>
  <Application>Microsoft Office Word</Application>
  <DocSecurity>0</DocSecurity>
  <Lines>47</Lines>
  <Paragraphs>13</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Wagner</dc:creator>
  <cp:keywords/>
  <dc:description/>
  <cp:lastModifiedBy>Peter Wagner</cp:lastModifiedBy>
  <cp:revision>1</cp:revision>
  <dcterms:created xsi:type="dcterms:W3CDTF">2020-01-24T18:54:00Z</dcterms:created>
  <dcterms:modified xsi:type="dcterms:W3CDTF">2020-01-24T18:57:00Z</dcterms:modified>
</cp:coreProperties>
</file>