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7D2A2" w14:textId="77777777" w:rsidR="00734F94" w:rsidRDefault="00734F94" w:rsidP="00734F94">
      <w:pPr>
        <w:spacing w:after="0" w:line="240" w:lineRule="auto"/>
        <w:ind w:left="-15" w:right="-15"/>
        <w:outlineLvl w:val="0"/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</w:pPr>
      <w:r w:rsidRPr="00734F94"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  <w:t xml:space="preserve">Unterhaltung im KI-Modus: Hilft </w:t>
      </w:r>
      <w:proofErr w:type="spellStart"/>
      <w:r w:rsidRPr="00734F94"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  <w:t>tebonin</w:t>
      </w:r>
      <w:proofErr w:type="spellEnd"/>
      <w:r w:rsidRPr="00734F94"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  <w:t xml:space="preserve"> gegen </w:t>
      </w:r>
      <w:proofErr w:type="spellStart"/>
      <w:r w:rsidRPr="00734F94"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  <w:t>altersvergesslichkeit</w:t>
      </w:r>
      <w:proofErr w:type="spellEnd"/>
    </w:p>
    <w:p w14:paraId="284DF0DF" w14:textId="77777777" w:rsidR="00734F94" w:rsidRPr="00734F94" w:rsidRDefault="00734F94" w:rsidP="00734F94">
      <w:pPr>
        <w:spacing w:after="0" w:line="240" w:lineRule="auto"/>
        <w:ind w:left="-15" w:right="-15"/>
        <w:outlineLvl w:val="0"/>
        <w:rPr>
          <w:rFonts w:ascii="Arial" w:eastAsia="Times New Roman" w:hAnsi="Arial" w:cs="Arial"/>
          <w:kern w:val="36"/>
          <w:sz w:val="21"/>
          <w:szCs w:val="21"/>
          <w:lang w:eastAsia="de-DE"/>
          <w14:ligatures w14:val="none"/>
        </w:rPr>
      </w:pPr>
    </w:p>
    <w:p w14:paraId="6A9851AA" w14:textId="77777777" w:rsidR="00734F94" w:rsidRPr="00734F94" w:rsidRDefault="00734F94" w:rsidP="00734F94">
      <w:pPr>
        <w:spacing w:after="0" w:line="240" w:lineRule="auto"/>
        <w:ind w:left="-15" w:right="-15"/>
        <w:outlineLvl w:val="1"/>
        <w:rPr>
          <w:rFonts w:ascii="Arial" w:eastAsia="Times New Roman" w:hAnsi="Arial" w:cs="Arial"/>
          <w:b/>
          <w:bCs/>
          <w:kern w:val="0"/>
          <w:sz w:val="32"/>
          <w:szCs w:val="32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sz w:val="32"/>
          <w:szCs w:val="32"/>
          <w:lang w:eastAsia="de-DE"/>
          <w14:ligatures w14:val="none"/>
        </w:rPr>
        <w:t xml:space="preserve">Du hast Folgendes gesagt: Hilft </w:t>
      </w:r>
      <w:proofErr w:type="spellStart"/>
      <w:r w:rsidRPr="00734F94">
        <w:rPr>
          <w:rFonts w:ascii="Arial" w:eastAsia="Times New Roman" w:hAnsi="Arial" w:cs="Arial"/>
          <w:b/>
          <w:bCs/>
          <w:kern w:val="0"/>
          <w:sz w:val="32"/>
          <w:szCs w:val="32"/>
          <w:lang w:eastAsia="de-DE"/>
          <w14:ligatures w14:val="none"/>
        </w:rPr>
        <w:t>tebonin</w:t>
      </w:r>
      <w:proofErr w:type="spellEnd"/>
      <w:r w:rsidRPr="00734F94">
        <w:rPr>
          <w:rFonts w:ascii="Arial" w:eastAsia="Times New Roman" w:hAnsi="Arial" w:cs="Arial"/>
          <w:b/>
          <w:bCs/>
          <w:kern w:val="0"/>
          <w:sz w:val="32"/>
          <w:szCs w:val="32"/>
          <w:lang w:eastAsia="de-DE"/>
          <w14:ligatures w14:val="none"/>
        </w:rPr>
        <w:t xml:space="preserve"> gegen </w:t>
      </w:r>
      <w:proofErr w:type="spellStart"/>
      <w:r w:rsidRPr="00734F94">
        <w:rPr>
          <w:rFonts w:ascii="Arial" w:eastAsia="Times New Roman" w:hAnsi="Arial" w:cs="Arial"/>
          <w:b/>
          <w:bCs/>
          <w:kern w:val="0"/>
          <w:sz w:val="32"/>
          <w:szCs w:val="32"/>
          <w:lang w:eastAsia="de-DE"/>
          <w14:ligatures w14:val="none"/>
        </w:rPr>
        <w:t>altersvergesslichkeit</w:t>
      </w:r>
      <w:proofErr w:type="spellEnd"/>
    </w:p>
    <w:p w14:paraId="7081C52A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734F94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Abbrechen</w:t>
      </w:r>
    </w:p>
    <w:p w14:paraId="3D75D75E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734F94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Senden</w:t>
      </w:r>
    </w:p>
    <w:p w14:paraId="6CD3F568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de-DE"/>
          <w14:ligatures w14:val="none"/>
        </w:rPr>
      </w:pPr>
      <w:r w:rsidRPr="00734F94">
        <w:rPr>
          <w:rFonts w:ascii="Arial" w:eastAsia="Times New Roman" w:hAnsi="Arial" w:cs="Arial"/>
          <w:kern w:val="0"/>
          <w:sz w:val="18"/>
          <w:szCs w:val="18"/>
          <w:lang w:eastAsia="de-DE"/>
          <w14:ligatures w14:val="none"/>
        </w:rPr>
        <w:t>10:57</w:t>
      </w:r>
    </w:p>
    <w:p w14:paraId="1A7A82D5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Ja, </w:t>
      </w:r>
      <w:proofErr w:type="spellStart"/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Tebonin</w:t>
      </w:r>
      <w:proofErr w:type="spellEnd"/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kann bei altersbedingten kognitiven Beeinträchtigungen und nachlassender Gedächtnisleistung unterstützen.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 Das pflanzliche Arzneimittel enthält den </w:t>
      </w: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Ginkgo-Spezialextrakt </w:t>
      </w:r>
      <w:proofErr w:type="spellStart"/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EGb</w:t>
      </w:r>
      <w:proofErr w:type="spellEnd"/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761®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, welcher nachweislich die Durchblutung im Gehirn fördert, die Vernetzung der Nervenzellen unterstützt und die Sauerstoffversorgung verbessert. [</w:t>
      </w:r>
      <w:hyperlink r:id="rId5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hyperlink r:id="rId6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2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68F9D628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Hier sind die wichtigsten Fakten zur Wirkung, Dosierung und wichtigen Einschränkungen im Überblick:</w:t>
      </w:r>
    </w:p>
    <w:p w14:paraId="53999FE3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  <w:t>Wirkungsweise im Gehirn</w:t>
      </w:r>
    </w:p>
    <w:p w14:paraId="47979BC2" w14:textId="77777777" w:rsidR="00734F94" w:rsidRPr="00734F94" w:rsidRDefault="00734F94" w:rsidP="00734F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Durchblutungsförderung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Der Extrakt sorgt dafür, dass selbst feinste Blutgefäße im Gehirn besser mit Sauerstoff und Nährstoffen versorgt werden. [</w:t>
      </w:r>
      <w:hyperlink r:id="rId7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1E3F4895" w14:textId="77777777" w:rsidR="00734F94" w:rsidRPr="00734F94" w:rsidRDefault="00734F94" w:rsidP="00734F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Zellschutz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Er verbessert die Anpassungsfähigkeit und Vernetzung der Nervenzellen. [</w:t>
      </w:r>
      <w:hyperlink r:id="rId8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7CD02D34" w14:textId="77777777" w:rsidR="00734F94" w:rsidRPr="00734F94" w:rsidRDefault="00734F94" w:rsidP="00734F9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Begleitsymptome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Neben Vergesslichkeit kann das Mittel auch bei altersbedingtem Schwindel oder Ohrensausen (Tinnitus) helfen, sofern diese auf Durchblutungsstörungen zurückzuführen sind. [</w:t>
      </w:r>
      <w:hyperlink r:id="rId9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5963231E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  <w:t>Empfohlene Dosierung und Anwendung</w:t>
      </w:r>
    </w:p>
    <w:p w14:paraId="4B472039" w14:textId="77777777" w:rsidR="00734F94" w:rsidRPr="00734F94" w:rsidRDefault="00734F94" w:rsidP="00734F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Richtige Dosis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: Bei nachlassender Gedächtnisleistung empfehlen Experten eine tägliche Dosis von </w:t>
      </w: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240 mg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 des Ginkgo-Spezialextrakts. Diese Menge ist beispielsweise in einer einzelnen Tablette </w:t>
      </w:r>
      <w:proofErr w:type="spellStart"/>
      <w:r w:rsidRPr="00734F94">
        <w:rPr>
          <w:rFonts w:ascii="Arial" w:eastAsia="Times New Roman" w:hAnsi="Arial" w:cs="Arial"/>
          <w:i/>
          <w:iCs/>
          <w:kern w:val="0"/>
          <w:lang w:eastAsia="de-DE"/>
          <w14:ligatures w14:val="none"/>
        </w:rPr>
        <w:t>Tebonin</w:t>
      </w:r>
      <w:proofErr w:type="spellEnd"/>
      <w:r w:rsidRPr="00734F94">
        <w:rPr>
          <w:rFonts w:ascii="Arial" w:eastAsia="Times New Roman" w:hAnsi="Arial" w:cs="Arial"/>
          <w:i/>
          <w:iCs/>
          <w:kern w:val="0"/>
          <w:lang w:eastAsia="de-DE"/>
          <w14:ligatures w14:val="none"/>
        </w:rPr>
        <w:t xml:space="preserve"> </w:t>
      </w:r>
      <w:proofErr w:type="spellStart"/>
      <w:r w:rsidRPr="00734F94">
        <w:rPr>
          <w:rFonts w:ascii="Arial" w:eastAsia="Times New Roman" w:hAnsi="Arial" w:cs="Arial"/>
          <w:i/>
          <w:iCs/>
          <w:kern w:val="0"/>
          <w:lang w:eastAsia="de-DE"/>
          <w14:ligatures w14:val="none"/>
        </w:rPr>
        <w:t>konzent</w:t>
      </w:r>
      <w:proofErr w:type="spellEnd"/>
      <w:r w:rsidRPr="00734F94">
        <w:rPr>
          <w:rFonts w:ascii="Arial" w:eastAsia="Times New Roman" w:hAnsi="Arial" w:cs="Arial"/>
          <w:i/>
          <w:iCs/>
          <w:kern w:val="0"/>
          <w:lang w:eastAsia="de-DE"/>
          <w14:ligatures w14:val="none"/>
        </w:rPr>
        <w:t xml:space="preserve"> 240 mg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 enthalten. [</w:t>
      </w:r>
      <w:hyperlink r:id="rId10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hyperlink r:id="rId11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2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hyperlink r:id="rId12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3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02ABFAE2" w14:textId="77777777" w:rsidR="00734F94" w:rsidRPr="00734F94" w:rsidRDefault="00734F94" w:rsidP="00734F9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Dauer der Einnahme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: Eine spürbare Wirkung tritt nicht sofort ein. Das Medikament sollte kontinuierlich über einen Zeitraum von </w:t>
      </w: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mindestens acht Wochen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 eingenommen werden. [</w:t>
      </w:r>
      <w:hyperlink r:id="rId13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1AC47138" w14:textId="77777777" w:rsidR="00734F94" w:rsidRPr="00734F94" w:rsidRDefault="00734F94" w:rsidP="00734F9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sz w:val="30"/>
          <w:szCs w:val="30"/>
          <w:lang w:eastAsia="de-DE"/>
          <w14:ligatures w14:val="none"/>
        </w:rPr>
        <w:t>Wichtige Einschränkungen und Sicherheitshinweise</w:t>
      </w:r>
    </w:p>
    <w:p w14:paraId="7D381EE6" w14:textId="77777777" w:rsidR="00734F94" w:rsidRPr="00734F94" w:rsidRDefault="00734F94" w:rsidP="00734F9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Keine Heilung bei Demenz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Das Präparat kann eine fortschreitende Demenz (wie Alzheimer) nicht heilen, sondern wird bei leichteren Formen lediglich zur unterstützenden Behandlung eingesetzt, um die Lebensqualität zu verbessern. [</w:t>
      </w:r>
      <w:hyperlink r:id="rId14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hyperlink r:id="rId15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2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6D065F2E" w14:textId="77777777" w:rsidR="00734F94" w:rsidRPr="00734F94" w:rsidRDefault="00734F94" w:rsidP="00734F9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Wechselwirkungen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Da Ginkgo die Durchblutung anregt, kann es die Wirkung von gerinnungshemmenden Medikamenten (Blutverdünnern) verstärken.</w:t>
      </w:r>
    </w:p>
    <w:p w14:paraId="287E4AD8" w14:textId="77777777" w:rsidR="00734F94" w:rsidRPr="00734F94" w:rsidRDefault="00734F94" w:rsidP="00734F9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Gegenanzeigen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Bei einer bekannten erhöhten Blutungsneigung oder Epilepsie sollte das Mittel nicht oder nur nach Rücksprache mit einem Arzt eingenommen werden. [</w:t>
      </w:r>
      <w:hyperlink r:id="rId16" w:history="1">
        <w:r w:rsidRPr="00734F94">
          <w:rPr>
            <w:rFonts w:ascii="Arial" w:eastAsia="Times New Roman" w:hAnsi="Arial" w:cs="Arial"/>
            <w:color w:val="0000FF"/>
            <w:kern w:val="0"/>
            <w:u w:val="single"/>
            <w:lang w:eastAsia="de-DE"/>
            <w14:ligatures w14:val="none"/>
          </w:rPr>
          <w:t>1</w:t>
        </w:r>
      </w:hyperlink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]</w:t>
      </w:r>
    </w:p>
    <w:p w14:paraId="1009FFF0" w14:textId="77777777" w:rsidR="00734F94" w:rsidRPr="00734F94" w:rsidRDefault="00734F94" w:rsidP="00734F9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34F94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Ärztliche Abklärung</w:t>
      </w:r>
      <w:r w:rsidRPr="00734F94">
        <w:rPr>
          <w:rFonts w:ascii="Arial" w:eastAsia="Times New Roman" w:hAnsi="Arial" w:cs="Arial"/>
          <w:kern w:val="0"/>
          <w:lang w:eastAsia="de-DE"/>
          <w14:ligatures w14:val="none"/>
        </w:rPr>
        <w:t>: Bevor Sie oder Ihre Angehörigen mit der Einnahme starten, sollte ein Arzt abklären, ob es sich um normale Altersvergesslichkeit oder um die ersten Anzeichen einer beginnenden Demenzerkrankung handelt</w:t>
      </w:r>
    </w:p>
    <w:p w14:paraId="7393066C" w14:textId="77777777" w:rsidR="00734F94" w:rsidRDefault="00734F94"/>
    <w:sectPr w:rsidR="00734F94" w:rsidSect="00734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B5C39"/>
    <w:multiLevelType w:val="multilevel"/>
    <w:tmpl w:val="A77A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A7805"/>
    <w:multiLevelType w:val="multilevel"/>
    <w:tmpl w:val="33E8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944A06"/>
    <w:multiLevelType w:val="multilevel"/>
    <w:tmpl w:val="383A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717460">
    <w:abstractNumId w:val="0"/>
  </w:num>
  <w:num w:numId="2" w16cid:durableId="2051682469">
    <w:abstractNumId w:val="1"/>
  </w:num>
  <w:num w:numId="3" w16cid:durableId="88895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F94"/>
    <w:rsid w:val="00734F94"/>
    <w:rsid w:val="00E7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D02A"/>
  <w15:chartTrackingRefBased/>
  <w15:docId w15:val="{E76F4FAF-4EF9-4F2B-A719-4984BFA7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34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4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4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4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4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4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4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4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4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4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4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4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4F9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4F9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4F9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4F9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4F9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4F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4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4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4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4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4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4F9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4F9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4F9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4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4F9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4F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dfeld-apotheke.de/product/tebonin-konzent-240-mg-filmtabletten.4363844.html" TargetMode="External"/><Relationship Id="rId13" Type="http://schemas.openxmlformats.org/officeDocument/2006/relationships/hyperlink" Target="https://www.tebonin.d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ebonin.de/geistige-leistungsfaehigkeit/demenz-oder-vergesslichkeit" TargetMode="External"/><Relationship Id="rId12" Type="http://schemas.openxmlformats.org/officeDocument/2006/relationships/hyperlink" Target="https://www.bodfeld-apotheke.de/product/tebonin-konzent-240-mg-filmtabletten.4363844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potheken-umschau.de/medikamente/beipackzettel/tebonin-intens-120-mg-filmtabletten-3379106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odfeld-apotheke.de/product/tebonin-konzent-240-mg-filmtabletten.4363844.html" TargetMode="External"/><Relationship Id="rId11" Type="http://schemas.openxmlformats.org/officeDocument/2006/relationships/hyperlink" Target="https://www.instagram.com/reel/C9hQ8q6MVNx/" TargetMode="External"/><Relationship Id="rId5" Type="http://schemas.openxmlformats.org/officeDocument/2006/relationships/hyperlink" Target="https://www.tebonin.de/geistige-leistungsfaehigkeit/demenz-oder-vergesslichkeit" TargetMode="External"/><Relationship Id="rId15" Type="http://schemas.openxmlformats.org/officeDocument/2006/relationships/hyperlink" Target="https://www.apotheken-umschau.de/medikamente/beipackzettel/tebonin-intens-120-mg-filmtabletten-3379106.html" TargetMode="External"/><Relationship Id="rId10" Type="http://schemas.openxmlformats.org/officeDocument/2006/relationships/hyperlink" Target="https://www.tebonin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nken-bewegt.de/vergesslichkeit/ursachen-von-vergesslichkeit/vergesslichkeit-im-alter" TargetMode="External"/><Relationship Id="rId14" Type="http://schemas.openxmlformats.org/officeDocument/2006/relationships/hyperlink" Target="https://www.netdoktor.de/medikamente/tebonin-konzent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Wagner</dc:creator>
  <cp:keywords/>
  <dc:description/>
  <cp:lastModifiedBy>Peter Wagner</cp:lastModifiedBy>
  <cp:revision>1</cp:revision>
  <dcterms:created xsi:type="dcterms:W3CDTF">2026-08-22T13:43:00Z</dcterms:created>
  <dcterms:modified xsi:type="dcterms:W3CDTF">2026-08-22T13:55:00Z</dcterms:modified>
</cp:coreProperties>
</file>